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C58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83C" w:rsidRDefault="00C96E46">
            <w:pPr>
              <w:pStyle w:val="ConsPlusNormal"/>
            </w:pPr>
            <w:r>
              <w:t>16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83C" w:rsidRDefault="00C96E46">
            <w:pPr>
              <w:pStyle w:val="ConsPlusNormal"/>
              <w:jc w:val="right"/>
            </w:pPr>
            <w:r>
              <w:t>N 63-ГД</w:t>
            </w:r>
          </w:p>
        </w:tc>
      </w:tr>
    </w:tbl>
    <w:p w:rsidR="007C583C" w:rsidRDefault="007C583C">
      <w:pPr>
        <w:pStyle w:val="ConsPlusNormal"/>
        <w:spacing w:before="100" w:after="100"/>
        <w:jc w:val="both"/>
        <w:rPr>
          <w:sz w:val="2"/>
        </w:rPr>
      </w:pPr>
    </w:p>
    <w:p w:rsidR="007C583C" w:rsidRDefault="007C583C">
      <w:pPr>
        <w:pStyle w:val="ConsPlusNormal"/>
        <w:jc w:val="both"/>
      </w:pPr>
    </w:p>
    <w:p w:rsidR="007C583C" w:rsidRPr="008367CA" w:rsidRDefault="00C96E46">
      <w:pPr>
        <w:pStyle w:val="ConsPlusTitle"/>
        <w:jc w:val="center"/>
        <w:rPr>
          <w:color w:val="auto"/>
        </w:rPr>
      </w:pPr>
      <w:r w:rsidRPr="008367CA">
        <w:rPr>
          <w:color w:val="auto"/>
        </w:rPr>
        <w:t>ЗАКОН</w:t>
      </w:r>
    </w:p>
    <w:p w:rsidR="007C583C" w:rsidRPr="008367CA" w:rsidRDefault="00C96E46">
      <w:pPr>
        <w:pStyle w:val="ConsPlusTitle"/>
        <w:jc w:val="center"/>
        <w:rPr>
          <w:color w:val="auto"/>
        </w:rPr>
      </w:pPr>
      <w:r w:rsidRPr="008367CA">
        <w:rPr>
          <w:color w:val="auto"/>
        </w:rPr>
        <w:t>САМАРСКОЙ ОБЛАСТИ</w:t>
      </w:r>
    </w:p>
    <w:p w:rsidR="007C583C" w:rsidRPr="008367CA" w:rsidRDefault="007C583C">
      <w:pPr>
        <w:pStyle w:val="ConsPlusTitle"/>
        <w:jc w:val="both"/>
        <w:rPr>
          <w:color w:val="auto"/>
        </w:rPr>
      </w:pPr>
    </w:p>
    <w:p w:rsidR="007C583C" w:rsidRPr="008367CA" w:rsidRDefault="00C96E46">
      <w:pPr>
        <w:pStyle w:val="ConsPlusTitle"/>
        <w:jc w:val="center"/>
        <w:rPr>
          <w:color w:val="auto"/>
        </w:rPr>
      </w:pPr>
      <w:r w:rsidRPr="008367CA">
        <w:rPr>
          <w:color w:val="auto"/>
        </w:rPr>
        <w:t>ОБ УСТАНОВЛЕНИИ НАЛОГОВЫХ СТАВОК ДЛЯ ОТДЕЛЬНЫХ КАТЕГОРИЙ</w:t>
      </w:r>
    </w:p>
    <w:p w:rsidR="007C583C" w:rsidRPr="008367CA" w:rsidRDefault="00C96E46">
      <w:pPr>
        <w:pStyle w:val="ConsPlusTitle"/>
        <w:jc w:val="center"/>
        <w:rPr>
          <w:color w:val="auto"/>
        </w:rPr>
      </w:pPr>
      <w:bookmarkStart w:id="0" w:name="_GoBack"/>
      <w:bookmarkEnd w:id="0"/>
      <w:r w:rsidRPr="008367CA">
        <w:rPr>
          <w:color w:val="auto"/>
        </w:rPr>
        <w:t>НАЛОГОПЛАТЕЛЬЩИКОВ, ПРИМЕНЯЮЩИХ УПРОЩЕННУЮ СИСТЕМУ</w:t>
      </w:r>
    </w:p>
    <w:p w:rsidR="007C583C" w:rsidRPr="008367CA" w:rsidRDefault="00C96E46">
      <w:pPr>
        <w:pStyle w:val="ConsPlusTitle"/>
        <w:jc w:val="center"/>
        <w:rPr>
          <w:color w:val="auto"/>
        </w:rPr>
      </w:pPr>
      <w:r w:rsidRPr="008367CA">
        <w:rPr>
          <w:color w:val="auto"/>
        </w:rPr>
        <w:t>НАЛОГООБЛОЖЕНИЯ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Normal"/>
        <w:jc w:val="right"/>
        <w:rPr>
          <w:color w:val="auto"/>
        </w:rPr>
      </w:pPr>
      <w:proofErr w:type="gramStart"/>
      <w:r w:rsidRPr="008367CA">
        <w:rPr>
          <w:color w:val="auto"/>
        </w:rPr>
        <w:t>Принят</w:t>
      </w:r>
      <w:proofErr w:type="gramEnd"/>
    </w:p>
    <w:p w:rsidR="007C583C" w:rsidRPr="008367CA" w:rsidRDefault="00C96E46">
      <w:pPr>
        <w:pStyle w:val="ConsPlusNormal"/>
        <w:jc w:val="right"/>
        <w:rPr>
          <w:color w:val="auto"/>
        </w:rPr>
      </w:pPr>
      <w:r w:rsidRPr="008367CA">
        <w:rPr>
          <w:color w:val="auto"/>
        </w:rPr>
        <w:t>Самарской Губернской Думой</w:t>
      </w:r>
    </w:p>
    <w:p w:rsidR="007C583C" w:rsidRPr="008367CA" w:rsidRDefault="00C96E46">
      <w:pPr>
        <w:pStyle w:val="ConsPlusNormal"/>
        <w:jc w:val="right"/>
        <w:rPr>
          <w:color w:val="auto"/>
        </w:rPr>
      </w:pPr>
      <w:r w:rsidRPr="008367CA">
        <w:rPr>
          <w:color w:val="auto"/>
        </w:rPr>
        <w:t>6 июля 2021 года</w:t>
      </w:r>
    </w:p>
    <w:p w:rsidR="007C583C" w:rsidRPr="0000209C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209C" w:rsidRPr="0000209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00209C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00209C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00209C" w:rsidRDefault="00C96E46">
            <w:pPr>
              <w:pStyle w:val="ConsPlusNormal"/>
              <w:jc w:val="center"/>
              <w:rPr>
                <w:color w:val="auto"/>
              </w:rPr>
            </w:pPr>
            <w:r w:rsidRPr="0000209C">
              <w:rPr>
                <w:color w:val="auto"/>
              </w:rPr>
              <w:t>Список изменяющих документов</w:t>
            </w:r>
          </w:p>
          <w:p w:rsidR="007C583C" w:rsidRPr="0000209C" w:rsidRDefault="00C96E46">
            <w:pPr>
              <w:pStyle w:val="ConsPlusNormal"/>
              <w:jc w:val="center"/>
              <w:rPr>
                <w:color w:val="auto"/>
              </w:rPr>
            </w:pPr>
            <w:proofErr w:type="gramStart"/>
            <w:r w:rsidRPr="0000209C">
              <w:rPr>
                <w:color w:val="auto"/>
              </w:rPr>
              <w:t xml:space="preserve">(в ред. Законов Самарской области от 16.07.2021 </w:t>
            </w:r>
            <w:hyperlink w:anchor="P49" w:history="1">
              <w:r w:rsidRPr="0000209C">
                <w:rPr>
                  <w:color w:val="auto"/>
                </w:rPr>
                <w:t>N 63-ГД</w:t>
              </w:r>
            </w:hyperlink>
            <w:r w:rsidRPr="0000209C">
              <w:rPr>
                <w:color w:val="auto"/>
              </w:rPr>
              <w:t>,</w:t>
            </w:r>
            <w:proofErr w:type="gramEnd"/>
          </w:p>
          <w:p w:rsidR="007C583C" w:rsidRPr="0000209C" w:rsidRDefault="00C96E46">
            <w:pPr>
              <w:pStyle w:val="ConsPlusNormal"/>
              <w:jc w:val="center"/>
              <w:rPr>
                <w:color w:val="auto"/>
              </w:rPr>
            </w:pPr>
            <w:r w:rsidRPr="0000209C">
              <w:rPr>
                <w:color w:val="auto"/>
              </w:rPr>
              <w:t xml:space="preserve">от 30.12.2021 </w:t>
            </w:r>
            <w:hyperlink r:id="rId5" w:history="1">
              <w:r w:rsidRPr="0000209C">
                <w:rPr>
                  <w:color w:val="auto"/>
                </w:rPr>
                <w:t>N 111-ГД</w:t>
              </w:r>
            </w:hyperlink>
            <w:r w:rsidRPr="0000209C">
              <w:rPr>
                <w:color w:val="auto"/>
              </w:rPr>
              <w:t xml:space="preserve">, от 20.06.2022 </w:t>
            </w:r>
            <w:hyperlink r:id="rId6" w:history="1">
              <w:r w:rsidRPr="0000209C">
                <w:rPr>
                  <w:color w:val="auto"/>
                </w:rPr>
                <w:t>N 64-ГД</w:t>
              </w:r>
            </w:hyperlink>
            <w:r w:rsidRPr="0000209C">
              <w:rPr>
                <w:color w:val="auto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00209C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Title"/>
        <w:ind w:firstLine="540"/>
        <w:jc w:val="both"/>
        <w:outlineLvl w:val="0"/>
        <w:rPr>
          <w:color w:val="auto"/>
        </w:rPr>
      </w:pPr>
      <w:r w:rsidRPr="008367CA">
        <w:rPr>
          <w:color w:val="auto"/>
        </w:rPr>
        <w:t>Статья 1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Normal"/>
        <w:ind w:firstLine="540"/>
        <w:jc w:val="both"/>
        <w:rPr>
          <w:color w:val="auto"/>
        </w:rPr>
      </w:pPr>
      <w:r w:rsidRPr="008367CA">
        <w:rPr>
          <w:color w:val="auto"/>
        </w:rPr>
        <w:t xml:space="preserve">Настоящий Закон в соответствии с Налоговым </w:t>
      </w:r>
      <w:hyperlink r:id="rId7" w:history="1">
        <w:r w:rsidRPr="008367CA">
          <w:rPr>
            <w:color w:val="auto"/>
          </w:rPr>
          <w:t>кодексом</w:t>
        </w:r>
      </w:hyperlink>
      <w:r w:rsidRPr="008367CA">
        <w:rPr>
          <w:color w:val="auto"/>
        </w:rPr>
        <w:t xml:space="preserve"> Российской Федерации устанавливает для отдельных категорий налогоплательщиков налоговые ставки по налогу, взимаемому в связи с применением упрощенной системы налогообложения.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Title"/>
        <w:ind w:firstLine="540"/>
        <w:jc w:val="both"/>
        <w:outlineLvl w:val="0"/>
        <w:rPr>
          <w:color w:val="auto"/>
        </w:rPr>
      </w:pPr>
      <w:r w:rsidRPr="008367CA">
        <w:rPr>
          <w:color w:val="auto"/>
        </w:rPr>
        <w:t>Статья 2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Normal"/>
        <w:ind w:firstLine="540"/>
        <w:jc w:val="both"/>
        <w:rPr>
          <w:color w:val="auto"/>
        </w:rPr>
      </w:pPr>
      <w:r w:rsidRPr="008367CA">
        <w:rPr>
          <w:color w:val="auto"/>
        </w:rPr>
        <w:t xml:space="preserve">На основании </w:t>
      </w:r>
      <w:hyperlink r:id="rId8" w:history="1">
        <w:r w:rsidRPr="008367CA">
          <w:rPr>
            <w:color w:val="auto"/>
          </w:rPr>
          <w:t>пунктов 1</w:t>
        </w:r>
      </w:hyperlink>
      <w:r w:rsidRPr="008367CA">
        <w:rPr>
          <w:color w:val="auto"/>
        </w:rPr>
        <w:t xml:space="preserve">, </w:t>
      </w:r>
      <w:hyperlink r:id="rId9" w:history="1">
        <w:r w:rsidRPr="008367CA">
          <w:rPr>
            <w:color w:val="auto"/>
          </w:rPr>
          <w:t>2 статьи 346.20</w:t>
        </w:r>
      </w:hyperlink>
      <w:r w:rsidRPr="008367CA">
        <w:rPr>
          <w:color w:val="auto"/>
        </w:rPr>
        <w:t xml:space="preserve"> Налогового кодекса Российской Федерации установить на территории Самарской области налоговые ставки по налогу, взимаемому в связи с применением упрощенной системы налогообложения, в следующих размерах:</w:t>
      </w:r>
    </w:p>
    <w:p w:rsidR="007C583C" w:rsidRPr="008367CA" w:rsidRDefault="00C96E46">
      <w:pPr>
        <w:pStyle w:val="ConsPlusNormal"/>
        <w:spacing w:before="200"/>
        <w:ind w:firstLine="540"/>
        <w:jc w:val="both"/>
        <w:rPr>
          <w:color w:val="auto"/>
        </w:rPr>
      </w:pPr>
      <w:r w:rsidRPr="008367CA">
        <w:rPr>
          <w:color w:val="auto"/>
        </w:rPr>
        <w:t>2 процента - в случае если объектом налогообложения являются доходы;</w:t>
      </w:r>
    </w:p>
    <w:p w:rsidR="007C583C" w:rsidRPr="008367CA" w:rsidRDefault="00C96E46">
      <w:pPr>
        <w:pStyle w:val="ConsPlusNormal"/>
        <w:spacing w:before="200"/>
        <w:ind w:firstLine="540"/>
        <w:jc w:val="both"/>
        <w:rPr>
          <w:color w:val="auto"/>
        </w:rPr>
      </w:pPr>
      <w:r w:rsidRPr="008367CA">
        <w:rPr>
          <w:color w:val="auto"/>
        </w:rPr>
        <w:t>5 процентов - в случае если объектом налогообложения являются доходы, уменьшенные на величину расходов:</w:t>
      </w:r>
    </w:p>
    <w:p w:rsidR="007C583C" w:rsidRPr="008367CA" w:rsidRDefault="00C96E46">
      <w:pPr>
        <w:pStyle w:val="ConsPlusNormal"/>
        <w:spacing w:before="200"/>
        <w:ind w:firstLine="540"/>
        <w:jc w:val="both"/>
        <w:rPr>
          <w:color w:val="auto"/>
        </w:rPr>
      </w:pPr>
      <w:bookmarkStart w:id="1" w:name="P27"/>
      <w:bookmarkEnd w:id="1"/>
      <w:r w:rsidRPr="008367CA">
        <w:rPr>
          <w:color w:val="auto"/>
        </w:rPr>
        <w:t xml:space="preserve">1) действовал по 31.12.2021 включительно. - </w:t>
      </w:r>
      <w:hyperlink w:anchor="P49" w:history="1">
        <w:proofErr w:type="spellStart"/>
        <w:r w:rsidRPr="008367CA">
          <w:rPr>
            <w:color w:val="auto"/>
          </w:rPr>
          <w:t>Абз</w:t>
        </w:r>
        <w:proofErr w:type="spellEnd"/>
        <w:r w:rsidRPr="008367CA">
          <w:rPr>
            <w:color w:val="auto"/>
          </w:rPr>
          <w:t>. 2 ст. 3</w:t>
        </w:r>
      </w:hyperlink>
      <w:r w:rsidRPr="008367CA">
        <w:rPr>
          <w:color w:val="auto"/>
        </w:rPr>
        <w:t xml:space="preserve"> данного документа;</w:t>
      </w:r>
    </w:p>
    <w:p w:rsidR="007C583C" w:rsidRPr="008367CA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E46" w:rsidRPr="008367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8367CA" w:rsidRDefault="00C96E46">
            <w:pPr>
              <w:pStyle w:val="ConsPlusNormal"/>
              <w:jc w:val="both"/>
              <w:rPr>
                <w:color w:val="auto"/>
              </w:rPr>
            </w:pPr>
            <w:r w:rsidRPr="008367CA">
              <w:rPr>
                <w:color w:val="auto"/>
              </w:rPr>
              <w:t xml:space="preserve">П. 2 ст. 2 </w:t>
            </w:r>
            <w:hyperlink w:anchor="P49" w:history="1">
              <w:r w:rsidRPr="008367CA">
                <w:rPr>
                  <w:color w:val="auto"/>
                </w:rPr>
                <w:t>действует</w:t>
              </w:r>
            </w:hyperlink>
            <w:r w:rsidRPr="008367CA">
              <w:rPr>
                <w:color w:val="auto"/>
              </w:rPr>
              <w:t xml:space="preserve">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C96E46">
      <w:pPr>
        <w:pStyle w:val="ConsPlusNormal"/>
        <w:spacing w:before="260"/>
        <w:ind w:firstLine="540"/>
        <w:jc w:val="both"/>
        <w:rPr>
          <w:color w:val="auto"/>
        </w:rPr>
      </w:pPr>
      <w:bookmarkStart w:id="2" w:name="P29"/>
      <w:bookmarkEnd w:id="2"/>
      <w:r w:rsidRPr="008367CA">
        <w:rPr>
          <w:color w:val="auto"/>
        </w:rPr>
        <w:t xml:space="preserve">2) для налогоплательщиков - индивидуальных предпринимателей, впервые зарегистрированных с 1 июля 2020 года, местом жительства и местом </w:t>
      </w:r>
      <w:proofErr w:type="gramStart"/>
      <w:r w:rsidRPr="008367CA">
        <w:rPr>
          <w:color w:val="auto"/>
        </w:rPr>
        <w:t>осуществления</w:t>
      </w:r>
      <w:proofErr w:type="gramEnd"/>
      <w:r w:rsidRPr="008367CA">
        <w:rPr>
          <w:color w:val="auto"/>
        </w:rPr>
        <w:t xml:space="preserve"> деятельности которых являются населенные пункты с численностью населения до 5 тысяч человек (по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Федерации), не осуществляющих торговлю подакцизными товарами, перечисленными в </w:t>
      </w:r>
      <w:hyperlink r:id="rId10" w:history="1">
        <w:r w:rsidRPr="008367CA">
          <w:rPr>
            <w:color w:val="auto"/>
          </w:rPr>
          <w:t>статье 181</w:t>
        </w:r>
      </w:hyperlink>
      <w:r w:rsidRPr="008367CA">
        <w:rPr>
          <w:color w:val="auto"/>
        </w:rPr>
        <w:t xml:space="preserve"> Налогового кодекса Российской Федерации, и у которых за отчетный (налоговый) период 2021 года и за отчетный (налоговый) период 2022 года предельный размер дохода не превышает 10 миллионов рублей;</w:t>
      </w:r>
    </w:p>
    <w:p w:rsidR="007C583C" w:rsidRPr="008367CA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E46" w:rsidRPr="008367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8367CA" w:rsidRDefault="00C96E46">
            <w:pPr>
              <w:pStyle w:val="ConsPlusNormal"/>
              <w:jc w:val="both"/>
              <w:rPr>
                <w:color w:val="auto"/>
              </w:rPr>
            </w:pPr>
            <w:r w:rsidRPr="008367CA">
              <w:rPr>
                <w:color w:val="auto"/>
              </w:rPr>
              <w:t xml:space="preserve">П. 3 ст. 2 </w:t>
            </w:r>
            <w:hyperlink w:anchor="P49" w:history="1">
              <w:r w:rsidRPr="008367CA">
                <w:rPr>
                  <w:color w:val="auto"/>
                </w:rPr>
                <w:t>действует</w:t>
              </w:r>
            </w:hyperlink>
            <w:r w:rsidRPr="008367CA">
              <w:rPr>
                <w:color w:val="auto"/>
              </w:rPr>
              <w:t xml:space="preserve">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C96E46">
      <w:pPr>
        <w:pStyle w:val="ConsPlusNormal"/>
        <w:spacing w:before="260"/>
        <w:ind w:firstLine="540"/>
        <w:jc w:val="both"/>
        <w:rPr>
          <w:color w:val="auto"/>
        </w:rPr>
      </w:pPr>
      <w:bookmarkStart w:id="3" w:name="P31"/>
      <w:bookmarkEnd w:id="3"/>
      <w:proofErr w:type="gramStart"/>
      <w:r w:rsidRPr="008367CA">
        <w:rPr>
          <w:color w:val="auto"/>
        </w:rPr>
        <w:t xml:space="preserve">3) для налогоплательщиков - организаций и индивидуальных предпринимателей, получивших в установленном Федеральным </w:t>
      </w:r>
      <w:hyperlink r:id="rId11" w:history="1">
        <w:r w:rsidRPr="008367CA">
          <w:rPr>
            <w:color w:val="auto"/>
          </w:rPr>
          <w:t>законом</w:t>
        </w:r>
      </w:hyperlink>
      <w:r w:rsidRPr="008367CA">
        <w:rPr>
          <w:color w:val="auto"/>
        </w:rPr>
        <w:t xml:space="preserve"> "О развитии малого и среднего предпринимательства в Российской Федерации" порядке статус социального предприятия, у которых за отчетный (налоговый) период 2021 года и за отчетный (налоговый) период 2022 года предельный размер дохода в целях налогообложения не превышает 50 миллионов рублей;</w:t>
      </w:r>
      <w:proofErr w:type="gramEnd"/>
    </w:p>
    <w:p w:rsidR="007C583C" w:rsidRPr="008367CA" w:rsidRDefault="00C96E46">
      <w:pPr>
        <w:pStyle w:val="ConsPlusNormal"/>
        <w:spacing w:before="200"/>
        <w:ind w:firstLine="540"/>
        <w:jc w:val="both"/>
        <w:rPr>
          <w:color w:val="auto"/>
        </w:rPr>
      </w:pPr>
      <w:bookmarkStart w:id="4" w:name="P32"/>
      <w:bookmarkEnd w:id="4"/>
      <w:r w:rsidRPr="008367CA">
        <w:rPr>
          <w:color w:val="auto"/>
        </w:rPr>
        <w:t xml:space="preserve">4) действовал по 31.12.2021 включительно. - </w:t>
      </w:r>
      <w:hyperlink w:anchor="P49" w:history="1">
        <w:proofErr w:type="spellStart"/>
        <w:r w:rsidRPr="008367CA">
          <w:rPr>
            <w:color w:val="auto"/>
          </w:rPr>
          <w:t>Абз</w:t>
        </w:r>
        <w:proofErr w:type="spellEnd"/>
        <w:r w:rsidRPr="008367CA">
          <w:rPr>
            <w:color w:val="auto"/>
          </w:rPr>
          <w:t>. 2 ст. 3</w:t>
        </w:r>
      </w:hyperlink>
      <w:r w:rsidRPr="008367CA">
        <w:rPr>
          <w:color w:val="auto"/>
        </w:rPr>
        <w:t xml:space="preserve"> данного документа.</w:t>
      </w:r>
    </w:p>
    <w:p w:rsidR="007C583C" w:rsidRPr="008367CA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E46" w:rsidRPr="008367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8367CA" w:rsidRDefault="00C96E46">
            <w:pPr>
              <w:pStyle w:val="ConsPlusNormal"/>
              <w:jc w:val="both"/>
              <w:rPr>
                <w:color w:val="auto"/>
              </w:rPr>
            </w:pPr>
            <w:proofErr w:type="spellStart"/>
            <w:r w:rsidRPr="008367CA">
              <w:rPr>
                <w:color w:val="auto"/>
              </w:rPr>
              <w:t>Абз</w:t>
            </w:r>
            <w:proofErr w:type="spellEnd"/>
            <w:r w:rsidRPr="008367CA">
              <w:rPr>
                <w:color w:val="auto"/>
              </w:rPr>
              <w:t xml:space="preserve">. 8 ст. 2 </w:t>
            </w:r>
            <w:hyperlink w:anchor="P51" w:history="1">
              <w:r w:rsidRPr="008367CA">
                <w:rPr>
                  <w:color w:val="auto"/>
                </w:rPr>
                <w:t>действует</w:t>
              </w:r>
            </w:hyperlink>
            <w:r w:rsidRPr="008367CA">
              <w:rPr>
                <w:color w:val="auto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C96E46">
      <w:pPr>
        <w:pStyle w:val="ConsPlusNormal"/>
        <w:spacing w:before="260"/>
        <w:ind w:firstLine="540"/>
        <w:jc w:val="both"/>
        <w:rPr>
          <w:color w:val="auto"/>
        </w:rPr>
      </w:pPr>
      <w:bookmarkStart w:id="5" w:name="P34"/>
      <w:bookmarkEnd w:id="5"/>
      <w:r w:rsidRPr="008367CA">
        <w:rPr>
          <w:color w:val="auto"/>
        </w:rPr>
        <w:lastRenderedPageBreak/>
        <w:t xml:space="preserve">На основании </w:t>
      </w:r>
      <w:hyperlink r:id="rId12" w:history="1">
        <w:r w:rsidRPr="008367CA">
          <w:rPr>
            <w:color w:val="auto"/>
          </w:rPr>
          <w:t>пунктов 1</w:t>
        </w:r>
      </w:hyperlink>
      <w:r w:rsidRPr="008367CA">
        <w:rPr>
          <w:color w:val="auto"/>
        </w:rPr>
        <w:t xml:space="preserve"> и </w:t>
      </w:r>
      <w:hyperlink r:id="rId13" w:history="1">
        <w:r w:rsidRPr="008367CA">
          <w:rPr>
            <w:color w:val="auto"/>
          </w:rPr>
          <w:t>2 статьи 346.20</w:t>
        </w:r>
      </w:hyperlink>
      <w:r w:rsidRPr="008367CA">
        <w:rPr>
          <w:color w:val="auto"/>
        </w:rPr>
        <w:t xml:space="preserve"> Налогового кодекса Российской Федерации установить на территории Самарской области налоговые ставки по налогу, взимаемому в связи с применением упрощенной системы налогообложения, в следующих размерах:</w:t>
      </w:r>
    </w:p>
    <w:p w:rsidR="007C583C" w:rsidRPr="008367CA" w:rsidRDefault="00C96E46">
      <w:pPr>
        <w:pStyle w:val="ConsPlusNormal"/>
        <w:jc w:val="both"/>
        <w:rPr>
          <w:color w:val="auto"/>
        </w:rPr>
      </w:pPr>
      <w:r w:rsidRPr="008367CA">
        <w:rPr>
          <w:color w:val="auto"/>
        </w:rPr>
        <w:t xml:space="preserve">(абзац введен </w:t>
      </w:r>
      <w:hyperlink r:id="rId14" w:history="1">
        <w:r w:rsidRPr="008367CA">
          <w:rPr>
            <w:color w:val="auto"/>
          </w:rPr>
          <w:t>Законом</w:t>
        </w:r>
      </w:hyperlink>
      <w:r w:rsidRPr="008367CA">
        <w:rPr>
          <w:color w:val="auto"/>
        </w:rPr>
        <w:t xml:space="preserve"> Самарской области от 20.06.2022 N 64-ГД)</w:t>
      </w:r>
    </w:p>
    <w:p w:rsidR="007C583C" w:rsidRPr="008367CA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E46" w:rsidRPr="008367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8367CA" w:rsidRDefault="00C96E46">
            <w:pPr>
              <w:pStyle w:val="ConsPlusNormal"/>
              <w:jc w:val="both"/>
              <w:rPr>
                <w:color w:val="auto"/>
              </w:rPr>
            </w:pPr>
            <w:proofErr w:type="spellStart"/>
            <w:r w:rsidRPr="008367CA">
              <w:rPr>
                <w:color w:val="auto"/>
              </w:rPr>
              <w:t>Абз</w:t>
            </w:r>
            <w:proofErr w:type="spellEnd"/>
            <w:r w:rsidRPr="008367CA">
              <w:rPr>
                <w:color w:val="auto"/>
              </w:rPr>
              <w:t xml:space="preserve">. 9 ст. 2 </w:t>
            </w:r>
            <w:hyperlink w:anchor="P51" w:history="1">
              <w:r w:rsidRPr="008367CA">
                <w:rPr>
                  <w:color w:val="auto"/>
                </w:rPr>
                <w:t>действует</w:t>
              </w:r>
            </w:hyperlink>
            <w:r w:rsidRPr="008367CA">
              <w:rPr>
                <w:color w:val="auto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C96E46">
      <w:pPr>
        <w:pStyle w:val="ConsPlusNormal"/>
        <w:spacing w:before="260"/>
        <w:ind w:firstLine="540"/>
        <w:jc w:val="both"/>
        <w:rPr>
          <w:color w:val="auto"/>
        </w:rPr>
      </w:pPr>
      <w:r w:rsidRPr="008367CA">
        <w:rPr>
          <w:color w:val="auto"/>
        </w:rPr>
        <w:t>1 процент - в случае если объектом налогообложения являются доходы;</w:t>
      </w:r>
    </w:p>
    <w:p w:rsidR="007C583C" w:rsidRPr="008367CA" w:rsidRDefault="00C96E46">
      <w:pPr>
        <w:pStyle w:val="ConsPlusNormal"/>
        <w:jc w:val="both"/>
        <w:rPr>
          <w:color w:val="auto"/>
        </w:rPr>
      </w:pPr>
      <w:r w:rsidRPr="008367CA">
        <w:rPr>
          <w:color w:val="auto"/>
        </w:rPr>
        <w:t xml:space="preserve">(абзац введен </w:t>
      </w:r>
      <w:hyperlink r:id="rId15" w:history="1">
        <w:r w:rsidRPr="008367CA">
          <w:rPr>
            <w:color w:val="auto"/>
          </w:rPr>
          <w:t>Законом</w:t>
        </w:r>
      </w:hyperlink>
      <w:r w:rsidRPr="008367CA">
        <w:rPr>
          <w:color w:val="auto"/>
        </w:rPr>
        <w:t xml:space="preserve"> Самарской области от 20.06.2022 N 64-ГД)</w:t>
      </w:r>
    </w:p>
    <w:p w:rsidR="007C583C" w:rsidRPr="008367CA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E46" w:rsidRPr="008367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8367CA" w:rsidRDefault="00C96E46">
            <w:pPr>
              <w:pStyle w:val="ConsPlusNormal"/>
              <w:jc w:val="both"/>
              <w:rPr>
                <w:color w:val="auto"/>
              </w:rPr>
            </w:pPr>
            <w:proofErr w:type="spellStart"/>
            <w:r w:rsidRPr="008367CA">
              <w:rPr>
                <w:color w:val="auto"/>
              </w:rPr>
              <w:t>Абз</w:t>
            </w:r>
            <w:proofErr w:type="spellEnd"/>
            <w:r w:rsidRPr="008367CA">
              <w:rPr>
                <w:color w:val="auto"/>
              </w:rPr>
              <w:t xml:space="preserve">. 10 ст. 2 </w:t>
            </w:r>
            <w:hyperlink w:anchor="P51" w:history="1">
              <w:r w:rsidRPr="008367CA">
                <w:rPr>
                  <w:color w:val="auto"/>
                </w:rPr>
                <w:t>действует</w:t>
              </w:r>
            </w:hyperlink>
            <w:r w:rsidRPr="008367CA">
              <w:rPr>
                <w:color w:val="auto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C96E46">
      <w:pPr>
        <w:pStyle w:val="ConsPlusNormal"/>
        <w:spacing w:before="260"/>
        <w:ind w:firstLine="540"/>
        <w:jc w:val="both"/>
        <w:rPr>
          <w:color w:val="auto"/>
        </w:rPr>
      </w:pPr>
      <w:r w:rsidRPr="008367CA">
        <w:rPr>
          <w:color w:val="auto"/>
        </w:rPr>
        <w:t>5 процентов - в случае если объектом налогообложения являются доходы, уменьшенные на величину расходов:</w:t>
      </w:r>
    </w:p>
    <w:p w:rsidR="007C583C" w:rsidRPr="008367CA" w:rsidRDefault="00C96E46">
      <w:pPr>
        <w:pStyle w:val="ConsPlusNormal"/>
        <w:jc w:val="both"/>
        <w:rPr>
          <w:color w:val="auto"/>
        </w:rPr>
      </w:pPr>
      <w:r w:rsidRPr="008367CA">
        <w:rPr>
          <w:color w:val="auto"/>
        </w:rPr>
        <w:t xml:space="preserve">(абзац введен </w:t>
      </w:r>
      <w:hyperlink r:id="rId16" w:history="1">
        <w:r w:rsidRPr="008367CA">
          <w:rPr>
            <w:color w:val="auto"/>
          </w:rPr>
          <w:t>Законом</w:t>
        </w:r>
      </w:hyperlink>
      <w:r w:rsidRPr="008367CA">
        <w:rPr>
          <w:color w:val="auto"/>
        </w:rPr>
        <w:t xml:space="preserve"> Самарской области от 20.06.2022 N 64-ГД)</w:t>
      </w:r>
    </w:p>
    <w:p w:rsidR="007C583C" w:rsidRPr="008367CA" w:rsidRDefault="007C583C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6E46" w:rsidRPr="008367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83C" w:rsidRPr="008367CA" w:rsidRDefault="00C96E46">
            <w:pPr>
              <w:pStyle w:val="ConsPlusNormal"/>
              <w:jc w:val="both"/>
              <w:rPr>
                <w:color w:val="auto"/>
              </w:rPr>
            </w:pPr>
            <w:proofErr w:type="spellStart"/>
            <w:r w:rsidRPr="008367CA">
              <w:rPr>
                <w:color w:val="auto"/>
              </w:rPr>
              <w:t>Абз</w:t>
            </w:r>
            <w:proofErr w:type="spellEnd"/>
            <w:r w:rsidRPr="008367CA">
              <w:rPr>
                <w:color w:val="auto"/>
              </w:rPr>
              <w:t xml:space="preserve">. 11 ст. 2 </w:t>
            </w:r>
            <w:hyperlink w:anchor="P51" w:history="1">
              <w:r w:rsidRPr="008367CA">
                <w:rPr>
                  <w:color w:val="auto"/>
                </w:rPr>
                <w:t>действует</w:t>
              </w:r>
            </w:hyperlink>
            <w:r w:rsidRPr="008367CA">
              <w:rPr>
                <w:color w:val="auto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83C" w:rsidRPr="008367CA" w:rsidRDefault="007C583C">
            <w:pPr>
              <w:pStyle w:val="ConsPlusNormal"/>
              <w:rPr>
                <w:color w:val="auto"/>
              </w:rPr>
            </w:pPr>
          </w:p>
        </w:tc>
      </w:tr>
    </w:tbl>
    <w:p w:rsidR="007C583C" w:rsidRPr="008367CA" w:rsidRDefault="00C96E46">
      <w:pPr>
        <w:pStyle w:val="ConsPlusNormal"/>
        <w:spacing w:before="260"/>
        <w:ind w:firstLine="540"/>
        <w:jc w:val="both"/>
        <w:rPr>
          <w:color w:val="auto"/>
        </w:rPr>
      </w:pPr>
      <w:bookmarkStart w:id="6" w:name="P43"/>
      <w:bookmarkEnd w:id="6"/>
      <w:proofErr w:type="gramStart"/>
      <w:r w:rsidRPr="008367CA">
        <w:rPr>
          <w:color w:val="auto"/>
        </w:rPr>
        <w:t xml:space="preserve">для налогоплательщиков - организаций, включенных в реестр аккредитованных организаций, осуществляющих деятельность в области информационных технологий, в порядке, установленном </w:t>
      </w:r>
      <w:hyperlink r:id="rId17" w:history="1">
        <w:r w:rsidRPr="008367CA">
          <w:rPr>
            <w:color w:val="auto"/>
          </w:rPr>
          <w:t>постановлением</w:t>
        </w:r>
      </w:hyperlink>
      <w:r w:rsidRPr="008367CA">
        <w:rPr>
          <w:color w:val="auto"/>
        </w:rPr>
        <w:t xml:space="preserve"> Правительства Российской Федерации от 18 июня 2021 года N 929 "О государственной аккредитации организаций, осуществляющих деятельность в области информационных технологий", имеющих доход от реализации товаров (работ, услуг), являющихся результатом осуществления вида экономической деятельности, классифицируемого в соответствии с группировками </w:t>
      </w:r>
      <w:hyperlink r:id="rId18" w:history="1">
        <w:r w:rsidRPr="008367CA">
          <w:rPr>
            <w:color w:val="auto"/>
          </w:rPr>
          <w:t>62</w:t>
        </w:r>
      </w:hyperlink>
      <w:r w:rsidRPr="008367CA">
        <w:rPr>
          <w:color w:val="auto"/>
        </w:rPr>
        <w:t xml:space="preserve"> и </w:t>
      </w:r>
      <w:hyperlink r:id="rId19" w:history="1">
        <w:r w:rsidRPr="008367CA">
          <w:rPr>
            <w:color w:val="auto"/>
          </w:rPr>
          <w:t>63</w:t>
        </w:r>
      </w:hyperlink>
      <w:r w:rsidRPr="008367CA">
        <w:rPr>
          <w:color w:val="auto"/>
        </w:rPr>
        <w:t xml:space="preserve"> Общероссийского</w:t>
      </w:r>
      <w:proofErr w:type="gramEnd"/>
      <w:r w:rsidRPr="008367CA">
        <w:rPr>
          <w:color w:val="auto"/>
        </w:rPr>
        <w:t xml:space="preserve"> классификатора видов экономической деятельности ОК 029-2014 (КДЕС</w:t>
      </w:r>
      <w:proofErr w:type="gramStart"/>
      <w:r w:rsidRPr="008367CA">
        <w:rPr>
          <w:color w:val="auto"/>
        </w:rPr>
        <w:t xml:space="preserve"> Р</w:t>
      </w:r>
      <w:proofErr w:type="gramEnd"/>
      <w:r w:rsidRPr="008367CA">
        <w:rPr>
          <w:color w:val="auto"/>
        </w:rPr>
        <w:t>ед. 2) (ОКВЭД 2), не менее 80 процентов по итогам налогового (отчетного) периода.</w:t>
      </w:r>
    </w:p>
    <w:p w:rsidR="007C583C" w:rsidRPr="008367CA" w:rsidRDefault="00C96E46">
      <w:pPr>
        <w:pStyle w:val="ConsPlusNormal"/>
        <w:jc w:val="both"/>
        <w:rPr>
          <w:color w:val="auto"/>
        </w:rPr>
      </w:pPr>
      <w:r w:rsidRPr="008367CA">
        <w:rPr>
          <w:color w:val="auto"/>
        </w:rPr>
        <w:t xml:space="preserve">(абзац введен </w:t>
      </w:r>
      <w:hyperlink r:id="rId20" w:history="1">
        <w:r w:rsidRPr="008367CA">
          <w:rPr>
            <w:color w:val="auto"/>
          </w:rPr>
          <w:t>Законом</w:t>
        </w:r>
      </w:hyperlink>
      <w:r w:rsidRPr="008367CA">
        <w:rPr>
          <w:color w:val="auto"/>
        </w:rPr>
        <w:t xml:space="preserve"> Самарской области от 20.06.2022 N 64-ГД)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Title"/>
        <w:ind w:firstLine="540"/>
        <w:jc w:val="both"/>
        <w:outlineLvl w:val="0"/>
        <w:rPr>
          <w:color w:val="auto"/>
        </w:rPr>
      </w:pPr>
      <w:r w:rsidRPr="008367CA">
        <w:rPr>
          <w:color w:val="auto"/>
        </w:rPr>
        <w:t>Статья 3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7C583C" w:rsidRPr="008367CA" w:rsidRDefault="00C96E46">
      <w:pPr>
        <w:pStyle w:val="ConsPlusNormal"/>
        <w:ind w:firstLine="540"/>
        <w:jc w:val="both"/>
        <w:rPr>
          <w:color w:val="auto"/>
        </w:rPr>
      </w:pPr>
      <w:r w:rsidRPr="008367CA">
        <w:rPr>
          <w:color w:val="auto"/>
        </w:rPr>
        <w:t>Настоящий Закон вступает в силу со дня его официального опубликования и распространяется на правоотношения, возникшие с 1 января 2021 года.</w:t>
      </w:r>
      <w:bookmarkStart w:id="7" w:name="P49"/>
      <w:bookmarkEnd w:id="7"/>
    </w:p>
    <w:p w:rsidR="007C583C" w:rsidRPr="008367CA" w:rsidRDefault="0000209C">
      <w:pPr>
        <w:pStyle w:val="ConsPlusNormal"/>
        <w:spacing w:before="200"/>
        <w:ind w:firstLine="540"/>
        <w:jc w:val="both"/>
        <w:rPr>
          <w:color w:val="auto"/>
        </w:rPr>
      </w:pPr>
      <w:hyperlink w:anchor="P27" w:history="1">
        <w:r w:rsidR="00C96E46" w:rsidRPr="008367CA">
          <w:rPr>
            <w:color w:val="auto"/>
          </w:rPr>
          <w:t>Пункты 1</w:t>
        </w:r>
      </w:hyperlink>
      <w:r w:rsidR="00C96E46" w:rsidRPr="008367CA">
        <w:rPr>
          <w:color w:val="auto"/>
        </w:rPr>
        <w:t xml:space="preserve"> и </w:t>
      </w:r>
      <w:hyperlink w:anchor="P32" w:history="1">
        <w:r w:rsidR="00C96E46" w:rsidRPr="008367CA">
          <w:rPr>
            <w:color w:val="auto"/>
          </w:rPr>
          <w:t>4 статьи 2</w:t>
        </w:r>
      </w:hyperlink>
      <w:r w:rsidR="00C96E46" w:rsidRPr="008367CA">
        <w:rPr>
          <w:color w:val="auto"/>
        </w:rPr>
        <w:t xml:space="preserve"> действуют по 31 декабря 2021 года включительно. </w:t>
      </w:r>
      <w:hyperlink w:anchor="P29" w:history="1">
        <w:r w:rsidR="00C96E46" w:rsidRPr="008367CA">
          <w:rPr>
            <w:color w:val="auto"/>
          </w:rPr>
          <w:t>Пункты 2</w:t>
        </w:r>
      </w:hyperlink>
      <w:r w:rsidR="00C96E46" w:rsidRPr="008367CA">
        <w:rPr>
          <w:color w:val="auto"/>
        </w:rPr>
        <w:t xml:space="preserve"> и </w:t>
      </w:r>
      <w:hyperlink w:anchor="P31" w:history="1">
        <w:r w:rsidR="00C96E46" w:rsidRPr="008367CA">
          <w:rPr>
            <w:color w:val="auto"/>
          </w:rPr>
          <w:t>3 статьи 2</w:t>
        </w:r>
      </w:hyperlink>
      <w:r w:rsidR="00C96E46" w:rsidRPr="008367CA">
        <w:rPr>
          <w:color w:val="auto"/>
        </w:rPr>
        <w:t xml:space="preserve"> Закона действуют по 31 декабря 2022 года включительно.</w:t>
      </w:r>
    </w:p>
    <w:p w:rsidR="007C583C" w:rsidRPr="008367CA" w:rsidRDefault="00C96E46">
      <w:pPr>
        <w:pStyle w:val="ConsPlusNormal"/>
        <w:jc w:val="both"/>
        <w:rPr>
          <w:color w:val="auto"/>
        </w:rPr>
      </w:pPr>
      <w:r w:rsidRPr="008367CA">
        <w:rPr>
          <w:color w:val="auto"/>
        </w:rPr>
        <w:t xml:space="preserve">(в ред. </w:t>
      </w:r>
      <w:hyperlink r:id="rId21" w:history="1">
        <w:r w:rsidRPr="008367CA">
          <w:rPr>
            <w:color w:val="auto"/>
          </w:rPr>
          <w:t>Закона</w:t>
        </w:r>
      </w:hyperlink>
      <w:r w:rsidRPr="008367CA">
        <w:rPr>
          <w:color w:val="auto"/>
        </w:rPr>
        <w:t xml:space="preserve"> Самарской области от 30.12.2021 N 111-ГД)</w:t>
      </w:r>
    </w:p>
    <w:p w:rsidR="007C583C" w:rsidRPr="008367CA" w:rsidRDefault="00C96E46">
      <w:pPr>
        <w:pStyle w:val="ConsPlusNormal"/>
        <w:spacing w:before="200"/>
        <w:ind w:firstLine="540"/>
        <w:jc w:val="both"/>
        <w:rPr>
          <w:color w:val="auto"/>
        </w:rPr>
      </w:pPr>
      <w:bookmarkStart w:id="8" w:name="P51"/>
      <w:bookmarkEnd w:id="8"/>
      <w:r w:rsidRPr="008367CA">
        <w:rPr>
          <w:color w:val="auto"/>
        </w:rPr>
        <w:t xml:space="preserve">Абзацы с </w:t>
      </w:r>
      <w:hyperlink w:anchor="P34" w:history="1">
        <w:r w:rsidRPr="008367CA">
          <w:rPr>
            <w:color w:val="auto"/>
          </w:rPr>
          <w:t>восьмого</w:t>
        </w:r>
      </w:hyperlink>
      <w:r w:rsidRPr="008367CA">
        <w:rPr>
          <w:color w:val="auto"/>
        </w:rPr>
        <w:t xml:space="preserve"> по </w:t>
      </w:r>
      <w:hyperlink w:anchor="P43" w:history="1">
        <w:r w:rsidRPr="008367CA">
          <w:rPr>
            <w:color w:val="auto"/>
          </w:rPr>
          <w:t>одиннадцатый статьи 2</w:t>
        </w:r>
      </w:hyperlink>
      <w:r w:rsidRPr="008367CA">
        <w:rPr>
          <w:color w:val="auto"/>
        </w:rPr>
        <w:t xml:space="preserve"> настоящего Закона действуют по 31 декабря 2024 года включительно.</w:t>
      </w:r>
    </w:p>
    <w:p w:rsidR="007C583C" w:rsidRPr="008367CA" w:rsidRDefault="00C96E46">
      <w:pPr>
        <w:pStyle w:val="ConsPlusNormal"/>
        <w:jc w:val="both"/>
        <w:rPr>
          <w:color w:val="auto"/>
        </w:rPr>
      </w:pPr>
      <w:r w:rsidRPr="008367CA">
        <w:rPr>
          <w:color w:val="auto"/>
        </w:rPr>
        <w:t xml:space="preserve">(абзац введен </w:t>
      </w:r>
      <w:hyperlink r:id="rId22" w:history="1">
        <w:r w:rsidRPr="008367CA">
          <w:rPr>
            <w:color w:val="auto"/>
          </w:rPr>
          <w:t>Законом</w:t>
        </w:r>
      </w:hyperlink>
      <w:r w:rsidRPr="008367CA">
        <w:rPr>
          <w:color w:val="auto"/>
        </w:rPr>
        <w:t xml:space="preserve"> Самарской области от 20.06.2022 N 64-ГД)</w:t>
      </w:r>
    </w:p>
    <w:p w:rsidR="007C583C" w:rsidRPr="008367CA" w:rsidRDefault="007C583C">
      <w:pPr>
        <w:pStyle w:val="ConsPlusNormal"/>
        <w:jc w:val="both"/>
        <w:rPr>
          <w:color w:val="auto"/>
        </w:rPr>
      </w:pPr>
    </w:p>
    <w:p w:rsidR="00C96E46" w:rsidRPr="008367CA" w:rsidRDefault="00C96E46">
      <w:pPr>
        <w:pStyle w:val="ConsPlusNormal"/>
        <w:jc w:val="right"/>
        <w:rPr>
          <w:i/>
          <w:color w:val="auto"/>
        </w:rPr>
      </w:pPr>
      <w:r w:rsidRPr="008367CA">
        <w:rPr>
          <w:i/>
          <w:color w:val="auto"/>
        </w:rPr>
        <w:t xml:space="preserve">Губернатор </w:t>
      </w:r>
    </w:p>
    <w:p w:rsidR="007C583C" w:rsidRPr="008367CA" w:rsidRDefault="00C96E46">
      <w:pPr>
        <w:pStyle w:val="ConsPlusNormal"/>
        <w:jc w:val="right"/>
        <w:rPr>
          <w:i/>
          <w:color w:val="auto"/>
        </w:rPr>
      </w:pPr>
      <w:r w:rsidRPr="008367CA">
        <w:rPr>
          <w:i/>
          <w:color w:val="auto"/>
        </w:rPr>
        <w:t>Самарской области</w:t>
      </w:r>
    </w:p>
    <w:p w:rsidR="007C583C" w:rsidRPr="008367CA" w:rsidRDefault="00C96E46">
      <w:pPr>
        <w:pStyle w:val="ConsPlusNormal"/>
        <w:jc w:val="right"/>
        <w:rPr>
          <w:i/>
          <w:color w:val="auto"/>
        </w:rPr>
      </w:pPr>
      <w:proofErr w:type="spellStart"/>
      <w:r w:rsidRPr="008367CA">
        <w:rPr>
          <w:i/>
          <w:color w:val="auto"/>
        </w:rPr>
        <w:t>Д.И.Азаров</w:t>
      </w:r>
      <w:proofErr w:type="spellEnd"/>
    </w:p>
    <w:p w:rsidR="007C583C" w:rsidRPr="008367CA" w:rsidRDefault="00C96E46">
      <w:pPr>
        <w:pStyle w:val="ConsPlusNormal"/>
        <w:rPr>
          <w:color w:val="auto"/>
        </w:rPr>
      </w:pPr>
      <w:r w:rsidRPr="008367CA">
        <w:rPr>
          <w:color w:val="auto"/>
        </w:rPr>
        <w:t>16 июля 2021 года</w:t>
      </w:r>
    </w:p>
    <w:p w:rsidR="007C583C" w:rsidRPr="00C96E46" w:rsidRDefault="00C96E46">
      <w:pPr>
        <w:pStyle w:val="ConsPlusNormal"/>
        <w:spacing w:before="200"/>
        <w:rPr>
          <w:color w:val="auto"/>
        </w:rPr>
      </w:pPr>
      <w:r w:rsidRPr="008367CA">
        <w:rPr>
          <w:color w:val="auto"/>
        </w:rPr>
        <w:t>N 63-ГД</w:t>
      </w:r>
    </w:p>
    <w:sectPr w:rsidR="007C583C" w:rsidRPr="00C96E46" w:rsidSect="00C96E46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C"/>
    <w:rsid w:val="0000209C"/>
    <w:rsid w:val="007C583C"/>
    <w:rsid w:val="008367CA"/>
    <w:rsid w:val="00C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8E8EC52DA5CC3EA6D5A7E78937C25E65AE056E7834F31B4FE2DE03330B458358BFA59880DB2D7D0EAFF0E25391C9E78D8B9386BF31E5034L" TargetMode="External"/><Relationship Id="rId13" Type="http://schemas.openxmlformats.org/officeDocument/2006/relationships/hyperlink" Target="consultantplus://offline/ref=6948E8EC52DA5CC3EA6D5A7E78937C25E65AE056E7834F31B4FE2DE03330B458358BFA59880DB2D8D0EAFF0E25391C9E78D8B9386BF31E5034L" TargetMode="External"/><Relationship Id="rId18" Type="http://schemas.openxmlformats.org/officeDocument/2006/relationships/hyperlink" Target="consultantplus://offline/ref=6948E8EC52DA5CC3EA6D5A7E78937C25E65AE652E68E4F31B4FE2DE03330B458358BFA598000B7D8D8B5FA1B3461139A60C6B12E77F11C04513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48E8EC52DA5CC3EA6D44736EFF202DE453BC58E48F4566E1AE2BB76C60B20D75CBFC0CC340BED0DBBEAE4B733F4AC9228DBC246FED1C0E085AFB685A33L" TargetMode="External"/><Relationship Id="rId7" Type="http://schemas.openxmlformats.org/officeDocument/2006/relationships/hyperlink" Target="consultantplus://offline/ref=6948E8EC52DA5CC3EA6D5A7E78937C25E65AE056E7834F31B4FE2DE03330B458358BFA59880DB2D7D0EAFF0E25391C9E78D8B9386BF31E5034L" TargetMode="External"/><Relationship Id="rId12" Type="http://schemas.openxmlformats.org/officeDocument/2006/relationships/hyperlink" Target="consultantplus://offline/ref=6948E8EC52DA5CC3EA6D5A7E78937C25E65AE056E7834F31B4FE2DE03330B458358BFA59880DB2D4D0EAFF0E25391C9E78D8B9386BF31E5034L" TargetMode="External"/><Relationship Id="rId17" Type="http://schemas.openxmlformats.org/officeDocument/2006/relationships/hyperlink" Target="consultantplus://offline/ref=6948E8EC52DA5CC3EA6D5A7E78937C25E65AE157E38E4F31B4FE2DE03330B458278BA2558202ADD1D3A0AC4A72533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8E8EC52DA5CC3EA6D44736EFF202DE453BC58E48F4367E1A22BB76C60B20D75CBFC0CC340BED0DBBEAE4B713F4AC9228DBC246FED1C0E085AFB685A33L" TargetMode="External"/><Relationship Id="rId20" Type="http://schemas.openxmlformats.org/officeDocument/2006/relationships/hyperlink" Target="consultantplus://offline/ref=6948E8EC52DA5CC3EA6D44736EFF202DE453BC58E48F4367E1A22BB76C60B20D75CBFC0CC340BED0DBBEAE4B723F4AC9228DBC246FED1C0E085AFB685A3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8E8EC52DA5CC3EA6D44736EFF202DE453BC58E48F4367E1A22BB76C60B20D75CBFC0CC340BED0DBBEAE4A773F4AC9228DBC246FED1C0E085AFB685A33L" TargetMode="External"/><Relationship Id="rId11" Type="http://schemas.openxmlformats.org/officeDocument/2006/relationships/hyperlink" Target="consultantplus://offline/ref=6948E8EC52DA5CC3EA6D5A7E78937C25E65AE251ED8C4F31B4FE2DE03330B458278BA2558202ADD1D3A0AC4A72533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948E8EC52DA5CC3EA6D44736EFF202DE453BC58E48F4566E1AE2BB76C60B20D75CBFC0CC340BED0DBBEAE4A773F4AC9228DBC246FED1C0E085AFB685A33L" TargetMode="External"/><Relationship Id="rId15" Type="http://schemas.openxmlformats.org/officeDocument/2006/relationships/hyperlink" Target="consultantplus://offline/ref=6948E8EC52DA5CC3EA6D44736EFF202DE453BC58E48F4367E1A22BB76C60B20D75CBFC0CC340BED0DBBEAE4B703F4AC9228DBC246FED1C0E085AFB685A3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948E8EC52DA5CC3EA6D5A7E78937C25E65AE056E7834F31B4FE2DE03330B458358BFA598000B0D4D2B5FA1B3461139A60C6B12E77F11C045134L" TargetMode="External"/><Relationship Id="rId19" Type="http://schemas.openxmlformats.org/officeDocument/2006/relationships/hyperlink" Target="consultantplus://offline/ref=6948E8EC52DA5CC3EA6D5A7E78937C25E65AE652E68E4F31B4FE2DE03330B458358BFA598000B6D3DDB5FA1B3461139A60C6B12E77F11C04513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8E8EC52DA5CC3EA6D5A7E78937C25E65AE056E7834F31B4FE2DE03330B458358BFA59880DB1D1D0EAFF0E25391C9E78D8B9386BF31E5034L" TargetMode="External"/><Relationship Id="rId14" Type="http://schemas.openxmlformats.org/officeDocument/2006/relationships/hyperlink" Target="consultantplus://offline/ref=6948E8EC52DA5CC3EA6D44736EFF202DE453BC58E48F4367E1A22BB76C60B20D75CBFC0CC340BED0DBBEAE4A783F4AC9228DBC246FED1C0E085AFB685A33L" TargetMode="External"/><Relationship Id="rId22" Type="http://schemas.openxmlformats.org/officeDocument/2006/relationships/hyperlink" Target="consultantplus://offline/ref=6948E8EC52DA5CC3EA6D44736EFF202DE453BC58E48F4367E1A22BB76C60B20D75CBFC0CC340BED0DBBEAE4B733F4AC9228DBC246FED1C0E085AFB685A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1</vt:lpstr>
      <vt:lpstr>Статья 2</vt:lpstr>
      <vt:lpstr>Статья 3</vt:lpstr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5</cp:revision>
  <dcterms:created xsi:type="dcterms:W3CDTF">2022-08-30T12:06:00Z</dcterms:created>
  <dcterms:modified xsi:type="dcterms:W3CDTF">2022-08-30T12:26:00Z</dcterms:modified>
</cp:coreProperties>
</file>